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2953" w14:textId="0DCB259F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A1748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POTENCJAŁ PRZEMIAN SPOŁECZNYCH ZAWARTY W FILMIE </w:t>
      </w:r>
      <w:r w:rsidRPr="003A1748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  <w:t>„MOC PRYMASA TYSIĄCLECIA” Jacka Bąka</w:t>
      </w:r>
    </w:p>
    <w:p w14:paraId="051CF213" w14:textId="77777777" w:rsid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AD79F" w14:textId="51D21FDB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 Moc Prymasa Tysiąclecia stanowi przystępne kompendium wiedzy o kształtowaniu się stanu faktycznego zaistniałego po II Wojnie Światowej na terytorium Polski. Film jest materialnym świadectwem ukształtowanie relacji Państwo-Kościół, w drodze terroru i pogwałcenia </w:t>
      </w:r>
      <w:proofErr w:type="gramStart"/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  (</w:t>
      </w:r>
      <w:proofErr w:type="gramEnd"/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legalnego, bo dwustronnie ustanowionego, w drodze porozumienia). Kolejnym etapem była subsumpcja odwrócona ("dajcie człowieka, a paragraf się znajdzie"). Zbrodnię przeciwko ludzkości uzasadniano formalnie obowiązującym prawem (por. fabrykowanie spisku szpiegowskiego, czy podstawa aresztowania Prymasa Wyszyńskiego tj. "łamania porozumienia"). W jurysprudencji stan ten określą się jako Podwójne Państwo (</w:t>
      </w:r>
      <w:proofErr w:type="spellStart"/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Doppelstadt</w:t>
      </w:r>
      <w:proofErr w:type="spellEnd"/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). Desygnatom nadaje się nowe nazwy, a podmienione nazwy stanowią dyspozycję norm ustanawiających zakazy i nakazy, sankcjonowane karami. Uprawnienia i dozwolenia są tylko formalnie obowiązujące, ale nie wykonalne. Ich obwieszczenie na piśmie ma być dowodem praworządności systemu (skoro uprawnienia i dozwolenia formalnie obowiązują, to Ludzie są wolni). Konstrukcja Podwójnego Państwa została opisana przez naukowców na podstawie studium wprowadzania nazizmu. </w:t>
      </w:r>
    </w:p>
    <w:p w14:paraId="754EE286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520DE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Film Moc Prymasa Tysiąclecia daje podstawy dowodowe, na przykładzie relacji Państwo-Kościół, że stan Podwójnego Państw miał miejsce w Polsce po II Wojnie Światowej. Prymas Wyszyński jako ówczesny podmiot stosunków prawa publicznego dokładnie go rozpoznał i wraz ze Współpracownikami oraz Wiernymi, był Świadkiem genezy zbrodni przeciwko ludzkości, a także zainicjował żmudny proces przywracania praworządności.  Wszak w 1977 r. PRL ratyfikował umowy międzynarodowe - stanowiące traktatowy zapis Powszechnej Deklaracji Praw Człowieka (element wycofywania zapowiadający zwycięstwo). Następny krokiem w tej dziedzinie było utworzenie Urzędu Ombudsmana (1988 r.). Rzeczypospolita Polska wciąż boryka się ze skutkami Podwójnego Państwa. Godność Człowieka współdziała z Wolnością Religijną (bo ta obejmuje też swobodę myśli i sumienia). Prawa Człowieka są niepodzielne, współistniejąca, a także równorzędne np. w filmie występują dowód naruszenia np. tajemnicy komunikowania się oraz świętego prawa własności (dostępność Obywatela dla Władzy "gdy drzwi są otwarte") - co łącznie narusza Wolność Religijną. Czy Prawa Człowieka to sprawa konkretnej, lokalnej Władzy? Nie. Wtedy wracamy do Podwójnego Państwa. </w:t>
      </w:r>
    </w:p>
    <w:p w14:paraId="52DADDF5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1DCD7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Moc Prymasa Tysiąclecia polega na daniu Nam duchowych "narzędzi" do skutecznego rozmontowania systemu Podwójnego Państwa. Żadne normy prawne, bez względu na ilość zapisów i surowość sankcji, nie zaistnieje bez obowiązujących (naturalnie) podstaw moralnych. To nadmiar tekstów prawnych, kazuistyka i surowość sankcji - świadczą o deficycie norm.</w:t>
      </w:r>
    </w:p>
    <w:p w14:paraId="5E01FFF7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59B19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te "narzędzia"? To stanowi puentę Filmu.</w:t>
      </w:r>
    </w:p>
    <w:p w14:paraId="70DBC4ED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EB6CD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Z wyrazami gratulacji</w:t>
      </w:r>
    </w:p>
    <w:p w14:paraId="4757B64E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Jaworek</w:t>
      </w:r>
    </w:p>
    <w:p w14:paraId="0AF9B464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 29.08.2021</w:t>
      </w:r>
    </w:p>
    <w:p w14:paraId="288A22F1" w14:textId="77777777" w:rsidR="00EE0CF4" w:rsidRDefault="00EE0CF4"/>
    <w:sectPr w:rsidR="00EE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48"/>
    <w:rsid w:val="003A1748"/>
    <w:rsid w:val="00506E3C"/>
    <w:rsid w:val="00E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FDA6"/>
  <w15:chartTrackingRefBased/>
  <w15:docId w15:val="{B7C833F0-3B8B-4DE9-B1C8-4E3D96F4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Wójcik</dc:creator>
  <cp:keywords/>
  <dc:description/>
  <cp:lastModifiedBy>Tomasz Kopiczko</cp:lastModifiedBy>
  <cp:revision>2</cp:revision>
  <dcterms:created xsi:type="dcterms:W3CDTF">2021-09-01T18:36:00Z</dcterms:created>
  <dcterms:modified xsi:type="dcterms:W3CDTF">2021-09-01T18:36:00Z</dcterms:modified>
</cp:coreProperties>
</file>